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Fictional medical chronology</w:t>
      </w:r>
    </w:p>
    <w:p>
      <w:r>
        <w:t>Alex Testcase • SYN-2024-001 • Seven-page fictional packet</w:t>
      </w:r>
    </w:p>
    <w:p>
      <w:r>
        <w:t>Hand-authored example for testing Lexamed. This is an incomplete draft, not clinical advice or measured AI output. Use PDF viewer pages 1–7. Printed footers on pages 3–7 restart at 1 and are not the citation page numbers.</w:t>
      </w:r>
    </w:p>
    <w:p>
      <w:pPr>
        <w:pStyle w:val="Heading2"/>
      </w:pPr>
      <w:r>
        <w:t>2024-03-12 Progress note</w:t>
      </w:r>
    </w:p>
    <w:p>
      <w:r>
        <w:t>The worker reported lumbar pain after the February 1 lifting incident and denied prior back injury. [PDF p. 3]</w:t>
      </w:r>
    </w:p>
    <w:p>
      <w:r>
        <w:t>Source quotation: Denies prior back injury.</w:t>
      </w:r>
    </w:p>
    <w:p>
      <w:pPr>
        <w:pStyle w:val="Heading2"/>
      </w:pPr>
      <w:r>
        <w:t>2024-03-28 Lumbar MRI</w:t>
      </w:r>
    </w:p>
    <w:p>
      <w:r>
        <w:t>The MRI described an L4-L5 disc protrusion contacting the left L5 nerve root. PDF page 7 repeats this report. [PDF p. 4]</w:t>
      </w:r>
    </w:p>
    <w:p>
      <w:r>
        <w:t>Source quotation: Findings: L4-L5 disc protrusion contacting the left L5 nerve root.</w:t>
      </w:r>
    </w:p>
    <w:p>
      <w:pPr>
        <w:pStyle w:val="Heading2"/>
      </w:pPr>
      <w:r>
        <w:t>2024-05-06 Procedure note</w:t>
      </w:r>
    </w:p>
    <w:p>
      <w:r>
        <w:t>A left L4-L5 transforaminal epidural steroid injection was performed. Post-procedure pain decreased from 7/10 to 3/10. [PDF p. 5]</w:t>
      </w:r>
    </w:p>
    <w:p>
      <w:r>
        <w:t>Source quotation: Post-procedure pain reduced from 7/10 to 3/10.</w:t>
      </w:r>
    </w:p>
    <w:p>
      <w:r>
        <w:br w:type="page"/>
      </w:r>
    </w:p>
    <w:p>
      <w:pPr>
        <w:pStyle w:val="Heading1"/>
      </w:pPr>
      <w:r>
        <w:t>Chronology continued</w:t>
      </w:r>
    </w:p>
    <w:p>
      <w:pPr>
        <w:pStyle w:val="Heading2"/>
      </w:pPr>
      <w:r>
        <w:t>2024-06-10 Functional history</w:t>
      </w:r>
    </w:p>
    <w:p>
      <w:r>
        <w:t>The follow-up records walking and driving limits and continued modified duty. Its pronouns vary; verify identity and attribution. [PDF p. 2]</w:t>
      </w:r>
    </w:p>
    <w:p>
      <w:r>
        <w:t>Source quotation: Driving is limited to 20 minutes.</w:t>
      </w:r>
    </w:p>
    <w:p>
      <w:pPr>
        <w:pStyle w:val="Heading2"/>
      </w:pPr>
      <w:r>
        <w:t>2024-06-10 Follow-up note</w:t>
      </w:r>
    </w:p>
    <w:p>
      <w:r>
        <w:t>The worker reported approximately 50% relief after the injection, pain 4/10, and continued modified duty. [PDF p. 6]</w:t>
      </w:r>
    </w:p>
    <w:p>
      <w:r>
        <w:t>Source quotation: Work status: Continued modified duty. Re-evaluate in 6 weeks.</w:t>
      </w:r>
    </w:p>
    <w:p>
      <w:pPr>
        <w:pStyle w:val="Heading2"/>
      </w:pPr>
      <w:r>
        <w:t>Questions to resolve</w:t>
      </w:r>
    </w:p>
    <w:p>
      <w:r>
        <w:t>The packet records a denial of prior back injury, but it does not independently establish whether a prior injury occurred. Do not infer causation or apportionment from these examples.</w:t>
      </w:r>
    </w:p>
    <w:p>
      <w:r>
        <w:t>PDF page 7 duplicates the March 28 MRI on page 4. Page 2 varies its pronouns; verify attribution. Source matching does not establish clinical meaning or completeness.</w:t>
      </w:r>
    </w:p>
    <w:sectPr w:rsidR="00FC693F" w:rsidRPr="0006063C" w:rsidSect="00034616">
      <w:footerReference w:type="default" r:id="rId9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Alex Testcase | SYN-2024-001 | Fictional demonstration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